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A2A4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</w:rPr>
        <w:t>细胞培养生物反应器的操作方法</w:t>
      </w:r>
      <w:bookmarkEnd w:id="0"/>
    </w:p>
    <w:p w14:paraId="7D87277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一、上罐前的准备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01682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‌1、细胞悬液制备‌：将预培养的细胞从摇瓶或培养皿中收集，混匀后取1mL进行细胞计数，确保接种密度适宜‌。 </w:t>
      </w:r>
    </w:p>
    <w:p w14:paraId="549925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‌2、设备灭菌‌：检查反应器罐体、管道及电极是否已灭菌(如121℃高压蒸汽处理)，避免微生物污染‌。 </w:t>
      </w:r>
    </w:p>
    <w:p w14:paraId="7748EC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‌3、培养基与缓冲液‌：准备足量培养基，并预调pH至目标范围(如7.2-7.4)，灭菌后冷却备用‌。</w:t>
      </w:r>
    </w:p>
    <w:p w14:paraId="267365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6FA48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二、接种与初始培养 </w:t>
      </w:r>
    </w:p>
    <w:p w14:paraId="799AED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‌1、无菌操作‌：在生物安全柜中，将细胞悬液通过无菌管道转移至反应器内，同时通入压缩空气辅助混合‌。 </w:t>
      </w:r>
    </w:p>
    <w:p w14:paraId="289998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‌2、参数设置‌： </w:t>
      </w:r>
    </w:p>
    <w:p w14:paraId="0566E8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‌温度‌：哺乳动物细胞通常设为37℃‌。 </w:t>
      </w:r>
    </w:p>
    <w:p w14:paraId="4F1D605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‌溶氧(DO)‌：初始设为40%，通过气体混合(O₂/N₂/CO₂)维持稳定‌。 </w:t>
      </w:r>
    </w:p>
    <w:p w14:paraId="53F40A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‌pH控制‌：使用蠕动泵补加酸/碱或通入CO₂调节，保持pH在6.5-7.0(视细胞类型调整)‌。</w:t>
      </w:r>
    </w:p>
    <w:p w14:paraId="1CBA2B0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6271E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三、培养过程监控 </w:t>
      </w:r>
    </w:p>
    <w:p w14:paraId="77B046A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‌1、定期取样‌：每24小时在线取样，检测细胞密度、pH及代谢物(如葡萄糖、乳酸)浓度‌。 </w:t>
      </w:r>
    </w:p>
    <w:p w14:paraId="57DA6C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‌2、流加补料‌：根据营养消耗情况，流加浓缩培养基或特定成分(如氨基酸)，延长细胞对数生长期‌。 </w:t>
      </w:r>
    </w:p>
    <w:p w14:paraId="7858D4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‌3、剪切力控制‌：采用低转速搅拌(如50-100 rpm)或波浪式反应器，避免机械损伤‌。</w:t>
      </w:r>
    </w:p>
    <w:p w14:paraId="2D8692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F71C53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四、收获与清洗 </w:t>
      </w:r>
    </w:p>
    <w:p w14:paraId="38BECA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‌1、终止培养‌：当细胞进入衰亡期或产物积累达峰值时，关闭自动控制系统‌。 </w:t>
      </w:r>
    </w:p>
    <w:p w14:paraId="5F0AEF0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‌2、排液与收集‌：通过压缩空气将培养液排入废液桶，分离细胞与上清液‌。 </w:t>
      </w:r>
    </w:p>
    <w:p w14:paraId="0E5B5C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‌3、清洗灭菌‌：用纯化水冲洗罐体及组件，0.1M*浸泡过夜，确保无残留‌。</w:t>
      </w:r>
    </w:p>
    <w:p w14:paraId="54F507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B58A66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五、注意事项 </w:t>
      </w:r>
    </w:p>
    <w:p w14:paraId="0D29B9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‌1、无菌操作‌：全程需严格避免污染，操作前消毒手套及工具‌。 </w:t>
      </w:r>
    </w:p>
    <w:p w14:paraId="158EEC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‌2、参数校准‌：定期校验pH、溶氧电极，确保数据准确‌。 </w:t>
      </w:r>
    </w:p>
    <w:p w14:paraId="015B50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‌3、放大生产‌：分批式操作可直接放大至工业规模(如12000L)，但需优化搅拌与传质效率‌。 </w:t>
      </w:r>
    </w:p>
    <w:p w14:paraId="6D7FE3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通过以上步骤，可高效完成细胞培养生物反应器的操作，适用于单克隆抗体、疫苗等生物制品的生产‌。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C0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</Words>
  <Characters>14</Characters>
  <Lines>0</Lines>
  <Paragraphs>0</Paragraphs>
  <TotalTime>0</TotalTime>
  <ScaleCrop>false</ScaleCrop>
  <LinksUpToDate>false</LinksUpToDate>
  <CharactersWithSpaces>14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2026-03-18T07:58:22Z</dcterms:created>
  <dc:creator>Mt</dc:creator>
  <cp:lastModifiedBy>制药网阳阳</cp:lastModifiedBy>
  <dcterms:modified xsi:type="dcterms:W3CDTF">2026-03-18T07:58:55Z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2E9004274645447EB01C875F4339B119_12</vt:lpwstr>
  </property>
</Properties>
</file>