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9B08F">
      <w:pPr>
        <w:pStyle w:val="2"/>
        <w:keepNext w:val="0"/>
        <w:keepLines w:val="0"/>
        <w:widowControl/>
        <w:suppressLineNumbers w:val="0"/>
        <w:spacing w:before="300" w:beforeAutospacing="0" w:after="0" w:afterAutospacing="0" w:line="17" w:lineRule="atLeast"/>
        <w:ind w:left="0" w:right="0" w:firstLine="0"/>
        <w:jc w:val="center"/>
        <w:rPr>
          <w:rFonts w:ascii="Arial" w:hAnsi="Arial" w:cs="Arial"/>
          <w:i w:val="0"/>
          <w:iCs w:val="0"/>
          <w:caps w:val="0"/>
          <w:color w:val="0000FF"/>
          <w:spacing w:val="0"/>
          <w:sz w:val="44"/>
          <w:szCs w:val="44"/>
        </w:rPr>
      </w:pPr>
      <w:r>
        <w:rPr>
          <w:rFonts w:hint="default" w:ascii="Arial" w:hAnsi="Arial" w:cs="Arial"/>
          <w:b/>
          <w:bCs/>
          <w:i w:val="0"/>
          <w:iCs w:val="0"/>
          <w:caps w:val="0"/>
          <w:color w:val="0000FF"/>
          <w:spacing w:val="0"/>
          <w:sz w:val="44"/>
          <w:szCs w:val="44"/>
        </w:rPr>
        <w:t>低总有机碳（TOC）测定的样品瓶准备准则</w:t>
      </w:r>
    </w:p>
    <w:p w14:paraId="443502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/>
          <w:lang w:val="en-US" w:eastAsia="zh-CN"/>
        </w:rPr>
      </w:pPr>
    </w:p>
    <w:p w14:paraId="468646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/>
          <w:lang w:val="en-US" w:eastAsia="zh-CN"/>
        </w:rPr>
      </w:pPr>
    </w:p>
    <w:p w14:paraId="2ED5825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9230" cy="2244090"/>
            <wp:effectExtent l="0" t="0" r="7620" b="3810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44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rFonts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目的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美国药典USP 23要求，对于纯化水（PW）和注射用水（</w:t>
      </w:r>
      <w:r>
        <w:rPr>
          <w:rFonts w:hint="default" w:ascii="Arial Black" w:hAnsi="Arial Black" w:eastAsia="Arial Black" w:cs="Arial Black"/>
          <w:color w:val="333333"/>
          <w:kern w:val="0"/>
          <w:sz w:val="24"/>
          <w:szCs w:val="24"/>
          <w:u w:val="none"/>
          <w:lang w:val="en-US" w:eastAsia="zh-CN" w:bidi="ar"/>
        </w:rPr>
        <w:t>WFI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），应使用总有机碳（TOC）含量测定替代易氧化物测试。为支持使用自动进样器在实验室检测TOC，最小化并去除来自样品瓶及样品准备过程的背景碳，非常关键。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适用范围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本文设计用于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协助制药公司遵循水质量的建议规格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，并检验了几种不同的样品瓶和玻璃器皿清洗方法。在样品瓶中进行总碳分析时，背景污染可有多种不同的来源。最大的潜在背景碳含量来源之一，可以直接来自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用于样品瓶漂洗和样品制备的水源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。为了进行此测定，可使用Sievers</w:t>
      </w:r>
      <w:r>
        <w:rPr>
          <w:rFonts w:hint="default" w:ascii="Arial Black" w:hAnsi="Arial Black" w:eastAsia="Arial Black" w:cs="Arial Black"/>
          <w:kern w:val="0"/>
          <w:sz w:val="18"/>
          <w:szCs w:val="18"/>
          <w:vertAlign w:val="baseline"/>
          <w:lang w:val="en-US" w:eastAsia="zh-CN" w:bidi="ar"/>
        </w:rPr>
        <w:t>®</w:t>
      </w:r>
      <w:r>
        <w:rPr>
          <w:rFonts w:hint="default" w:ascii="Arial Black" w:hAnsi="Arial Black" w:eastAsia="Arial Black" w:cs="Arial Black"/>
          <w:color w:val="333333"/>
          <w:kern w:val="0"/>
          <w:sz w:val="24"/>
          <w:szCs w:val="24"/>
          <w:u w:val="none"/>
          <w:lang w:val="en-US" w:eastAsia="zh-CN" w:bidi="ar"/>
        </w:rPr>
        <w:t>在线TOC分析仪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直接检测水源中的总有机碳（TOC）含量。如果水源是商品瓶装水，则应从容器直接取样进行该分析。如果水源为实验室水系统，充注1升干净的玻璃烧瓶并从该烧瓶取样进行分析。表1显示了使用这些技术在Sievers分析仪上检测得到的结果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0500" cy="1236980"/>
            <wp:effectExtent l="0" t="0" r="6350" b="1270"/>
            <wp:docPr id="1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2369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表1 不同低TOC水及取样方法比较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当水转移到烧瓶和样品瓶内时很容易被污染，正如以上所示，Sievers分析仪检测结果显示，水转移到烧瓶中的TOC含量更高。如果可能的话，检验所选水源类型，以显示其具有稳定的低TOC。污染的第二个主要来源可来自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样品瓶和清洗步骤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。为了测定TOC背景污染的初始程度，请使用强烈的清洗步骤。在科学界广泛使用的清洗实验室玻璃器皿的方法是铬酸溶液（Sievers分析仪技术方案914-80005），已经被从美国药典的实验室玻璃器皿清洗&lt;1051&gt;章中去除。使用该步骤清洗的样品瓶和其他玻璃器皿将获得较低的TOC背景污染。在获得较低的背景污染之后，需要慎重检验更温和的清洗步骤以获得同样的结果。这里所检验的腐蚀性最小的化学清洗步骤是CIP-100洗涤剂。作为清洗剂的替代方案，可使用</w:t>
      </w:r>
      <w:r>
        <w:rPr>
          <w:rFonts w:hint="default" w:ascii="Arial Black" w:hAnsi="Arial Black" w:eastAsia="Arial Black" w:cs="Arial Black"/>
          <w:color w:val="333333"/>
          <w:kern w:val="0"/>
          <w:sz w:val="24"/>
          <w:szCs w:val="24"/>
          <w:u w:val="none"/>
          <w:lang w:val="en-US" w:eastAsia="zh-CN" w:bidi="ar"/>
        </w:rPr>
        <w:t>马弗炉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清洗玻璃器皿。马弗炉工艺需要的人工更少，但初始设备成本巨大。如表2所示，硫酸清洗、马弗炉和CIP-100洗涤剂清洗过程与铬酸清洗过程的结果相当。CIP-100洗涤剂的一个优点是只需要10次漂洗，而与之相比，其他清洗剂需要15或20次漂洗。Alconox实验室洗涤剂不建议作为低TOC工作的清洗剂。</w:t>
      </w:r>
      <w:r>
        <w:rPr>
          <w:rFonts w:hint="default" w:ascii="Arial Black" w:hAnsi="Arial Black" w:eastAsia="Arial Black" w:cs="Arial Black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9230" cy="2042795"/>
            <wp:effectExtent l="0" t="0" r="7620" b="14605"/>
            <wp:docPr id="8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42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表2 试管清洗的不同清洗方案比较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当表2中所使用的样品瓶，加入足够的苯醇醚（Octoxynol）（Triton X-100），形成当充满去离子水时50 ppm（以碳计）的溶液，这时的清洗是有挑战性的。使这些标准添加溶液在各样品瓶中干燥，然后进行各种清洗步骤。当细菌污染成为问题时，微生物群落存在类似的情况。在这里开发了无菌化技术，以应对微生物工作中遇到的交叉污染问题。此概念可部分适用于碳样品的制备。例如，适合碳样品制备的无菌化概念为：避免直接触摸垫片、移液管、自动进样器针和其他与样品直接接触的设备；制备样品时，避免对着它们呼吸；避免采集前几毫升的样品流，采集样品前等待，直到一些液体经过并净化管道；当将样品瓶载入自动进样器时避免接触覆盖样品瓶的隔膜。第二种意见是仅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使用新样品瓶进行TOC分析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。这种做法费钱费力，因为这些新样品瓶需要进行15次漂洗的准备步骤。使用此方法获得的TOC值列在表3中。而另一种方法是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购买制造商预清洗的样品瓶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。然而此处列出的样品瓶，供应商没有直接检测其TOC，而是检测其</w:t>
      </w:r>
      <w:r>
        <w:rPr>
          <w:rFonts w:hint="default" w:ascii="Arial Black" w:hAnsi="Arial Black" w:eastAsia="Arial Black" w:cs="Arial Black"/>
          <w:color w:val="333333"/>
          <w:kern w:val="0"/>
          <w:sz w:val="24"/>
          <w:szCs w:val="24"/>
          <w:u w:val="none"/>
          <w:lang w:val="en-US" w:eastAsia="zh-CN" w:bidi="ar"/>
        </w:rPr>
        <w:t>挥发性有机化合物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。因此，没有保证其最大TOC含量。这些预清洗的样品瓶充注Sievers低有机物去离子水，并在仪器上进行分析。结果如表4所示。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71135" cy="2928620"/>
            <wp:effectExtent l="0" t="0" r="5715" b="5080"/>
            <wp:docPr id="9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286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表3 新试管的漂洗与测试</w:t>
      </w:r>
      <w:r>
        <w:rPr>
          <w:rFonts w:hint="default" w:ascii="Arial Black" w:hAnsi="Arial Black" w:eastAsia="Arial Black" w:cs="Arial Black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4785" cy="2720975"/>
            <wp:effectExtent l="0" t="0" r="12065" b="3175"/>
            <wp:docPr id="10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20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表4 预清洁试管充满并测试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减小背景碳污染的第三步是遵守严格的制备技术。特别小心地处理与样品接触的试剂和设备，因为碳污染无处不在。例如，储存在塑料袋中的垫片，如果手伸入内部时，可能受到残留的手纹油的污染。表5显示了使用故意被手纹直接污染的隔膜时更高的TOC含量。右列显示了在样品制备时上下表面皆有触摸的隔膜。碳污染量是样品制备时与脏手或表面接触程度的反映。</w:t>
      </w:r>
      <w:r>
        <w:rPr>
          <w:rFonts w:hint="default" w:ascii="Arial Black" w:hAnsi="Arial Black" w:eastAsia="Arial Black" w:cs="Arial Black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5265420" cy="3536950"/>
            <wp:effectExtent l="0" t="0" r="11430" b="6350"/>
            <wp:docPr id="7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3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表5 样品制备时无菌相对非无菌化垫片触摸结论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在样品制备的三个方面叙述了背景碳的潜在原因。要在低碳背景污染下获得稳定的TOC结果，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水、样品瓶和样品制备方法都必须仔细地监控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。除了上述几种样品瓶的使用外，我们还向您推荐使用Sievers</w:t>
      </w:r>
      <w:r>
        <w:rPr>
          <w:rFonts w:hint="default" w:ascii="Arial Black" w:hAnsi="Arial Black" w:eastAsia="Arial Black" w:cs="Arial Black"/>
          <w:kern w:val="0"/>
          <w:sz w:val="18"/>
          <w:szCs w:val="18"/>
          <w:vertAlign w:val="baseline"/>
          <w:lang w:val="en-US" w:eastAsia="zh-CN" w:bidi="ar"/>
        </w:rPr>
        <w:t>®</w:t>
      </w: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经认证的TOC样品瓶。我们提供的样品瓶包括普通TOC认证样品瓶、特种涂层样品瓶、预酸化样品瓶、蓝色认证样品瓶等，不同的样品瓶有不同的适用场景，可满足您的各种应用，提高您对TOC检测质量的信心。这些样品瓶可靠、经济、超洁净，经过认证，并且具备可追溯性。</w:t>
      </w:r>
      <w:r>
        <w:rPr>
          <w:rStyle w:val="12"/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Sievers认证的TOC样品瓶不仅可用于Sievers品牌TOC分析仪还适用于其他大部分品牌的TOC分析仪。</w:t>
      </w: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1Sievers认证（&lt;10 ppb TOC）的样品瓶 可靠的质量保证 </w:t>
      </w:r>
    </w:p>
    <w:p w14:paraId="13D79612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符合法规检测的正确选择</w:t>
      </w:r>
    </w:p>
    <w:p w14:paraId="02BE8E80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每次检测都能获得准确的TOC结果</w:t>
      </w:r>
    </w:p>
    <w:p w14:paraId="42742B4F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预清洁并经认证（&lt;10 ppb TOC）</w:t>
      </w:r>
    </w:p>
    <w:p w14:paraId="4E7D39C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拥有我们的超标结果OOS调查作为后盾</w:t>
      </w:r>
    </w:p>
    <w:p w14:paraId="628AEF19">
      <w:pPr>
        <w:keepNext w:val="0"/>
        <w:keepLines w:val="0"/>
        <w:widowControl/>
        <w:suppressLineNumbers w:val="0"/>
        <w:jc w:val="left"/>
      </w:pP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2电导率和TOC两用（DUCT）样品瓶 同时进行检测 </w:t>
      </w:r>
    </w:p>
    <w:p w14:paraId="080F013D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适用于同时进行阶段1电导率和TOC合规性检测</w:t>
      </w:r>
    </w:p>
    <w:p w14:paraId="2651E718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使用单个样品瓶进行自动检测，节省时间，省去样品处理，提高数据可靠性</w:t>
      </w:r>
    </w:p>
    <w:p w14:paraId="5566FC48">
      <w:pPr>
        <w:keepNext w:val="0"/>
        <w:keepLines w:val="0"/>
        <w:widowControl/>
        <w:numPr>
          <w:ilvl w:val="0"/>
          <w:numId w:val="6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特种镀膜玻璃和隔垫，无离子析出，经认证（&lt;10 ppb TOC）</w:t>
      </w:r>
    </w:p>
    <w:p w14:paraId="7506536E">
      <w:pPr>
        <w:keepNext w:val="0"/>
        <w:keepLines w:val="0"/>
        <w:widowControl/>
        <w:numPr>
          <w:ilvl w:val="0"/>
          <w:numId w:val="7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拥有我们的超标结果OOS调查作为后盾</w:t>
      </w:r>
    </w:p>
    <w:p w14:paraId="3E9A7A39">
      <w:pPr>
        <w:keepNext w:val="0"/>
        <w:keepLines w:val="0"/>
        <w:widowControl/>
        <w:suppressLineNumbers w:val="0"/>
        <w:jc w:val="left"/>
      </w:pP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3预酸化样品瓶 用于粘性蛋白质和肽 </w:t>
      </w:r>
    </w:p>
    <w:p w14:paraId="4B08D550">
      <w:pPr>
        <w:keepNext w:val="0"/>
        <w:keepLines w:val="0"/>
        <w:widowControl/>
        <w:numPr>
          <w:ilvl w:val="0"/>
          <w:numId w:val="8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在清洁验证应用中提高蛋白质回收率</w:t>
      </w:r>
    </w:p>
    <w:p w14:paraId="64F85C94">
      <w:pPr>
        <w:keepNext w:val="0"/>
        <w:keepLines w:val="0"/>
        <w:widowControl/>
        <w:numPr>
          <w:ilvl w:val="0"/>
          <w:numId w:val="9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防止蛋白质和肽粘附在样品瓶表面</w:t>
      </w:r>
    </w:p>
    <w:p w14:paraId="5084CDC9">
      <w:pPr>
        <w:keepNext w:val="0"/>
        <w:keepLines w:val="0"/>
        <w:widowControl/>
        <w:numPr>
          <w:ilvl w:val="0"/>
          <w:numId w:val="10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可用于清洁验证擦拭样品（样品瓶内预填充了经酸化的水）或最终的淋洗样品</w:t>
      </w:r>
    </w:p>
    <w:p w14:paraId="732E458D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拥有我们的超标结果OOS调查作为后盾</w:t>
      </w:r>
    </w:p>
    <w:p w14:paraId="2DB583F3">
      <w:pPr>
        <w:keepNext w:val="0"/>
        <w:keepLines w:val="0"/>
        <w:widowControl/>
        <w:suppressLineNumbers w:val="0"/>
        <w:jc w:val="left"/>
      </w:pPr>
      <w:r>
        <w:rPr>
          <w:rStyle w:val="11"/>
          <w:rFonts w:hint="default" w:ascii="Arial Black" w:hAnsi="Arial Black" w:eastAsia="Arial Black" w:cs="Arial Black"/>
          <w:b/>
          <w:bCs/>
          <w:kern w:val="0"/>
          <w:sz w:val="24"/>
          <w:szCs w:val="24"/>
          <w:lang w:val="en-US" w:eastAsia="zh-CN" w:bidi="ar"/>
        </w:rPr>
        <w:t>4蓝色认证样品瓶 用于洁净室 </w:t>
      </w:r>
    </w:p>
    <w:p w14:paraId="51743E11">
      <w:pPr>
        <w:keepNext w:val="0"/>
        <w:keepLines w:val="0"/>
        <w:widowControl/>
        <w:numPr>
          <w:ilvl w:val="0"/>
          <w:numId w:val="12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在受控环境中使用</w:t>
      </w:r>
    </w:p>
    <w:p w14:paraId="415BE59E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无纸质包装，在ISO 7洁净室中生产</w:t>
      </w:r>
    </w:p>
    <w:p w14:paraId="7F6E20A3">
      <w:pPr>
        <w:keepNext w:val="0"/>
        <w:keepLines w:val="0"/>
        <w:widowControl/>
        <w:numPr>
          <w:ilvl w:val="0"/>
          <w:numId w:val="14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为Sievers认证的样品瓶、电导率和TOC两用（DUCT）样品瓶和预酸化样品瓶提供蓝色认证 包装</w:t>
      </w:r>
    </w:p>
    <w:p w14:paraId="34079B92">
      <w:pPr>
        <w:keepNext w:val="0"/>
        <w:keepLines w:val="0"/>
        <w:widowControl/>
        <w:numPr>
          <w:ilvl w:val="0"/>
          <w:numId w:val="15"/>
        </w:numPr>
        <w:suppressLineNumbers w:val="0"/>
        <w:spacing w:before="0" w:beforeAutospacing="1" w:after="0" w:afterAutospacing="1"/>
        <w:ind w:left="720" w:hanging="360"/>
      </w:pPr>
      <w:r>
        <w:rPr>
          <w:rFonts w:hint="default" w:ascii="Arial Black" w:hAnsi="Arial Black" w:eastAsia="Arial Black" w:cs="Arial Black"/>
        </w:rPr>
        <w:t>拥有我们的超标结果OOS调查作为后盾</w:t>
      </w:r>
    </w:p>
    <w:p w14:paraId="13E68E34">
      <w:pPr>
        <w:keepNext w:val="0"/>
        <w:keepLines w:val="0"/>
        <w:widowControl/>
        <w:suppressLineNumbers w:val="0"/>
        <w:jc w:val="left"/>
      </w:pPr>
      <w:r>
        <w:rPr>
          <w:rFonts w:hint="default" w:ascii="Arial Black" w:hAnsi="Arial Black" w:eastAsia="Arial Black" w:cs="Arial Black"/>
          <w:kern w:val="0"/>
          <w:sz w:val="24"/>
          <w:szCs w:val="24"/>
          <w:lang w:val="en-US" w:eastAsia="zh-CN" w:bidi="ar"/>
        </w:rPr>
        <w:t>以上不同种类的样品瓶适用于各类不同的制药应用，每种样品瓶有多种数量规格包装，满足您的不同需求！</w:t>
      </w:r>
    </w:p>
    <w:p w14:paraId="0F5DFD9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B732A4"/>
    <w:multiLevelType w:val="multilevel"/>
    <w:tmpl w:val="8DB732A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8E3F17FF"/>
    <w:multiLevelType w:val="multilevel"/>
    <w:tmpl w:val="8E3F17F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90A760D6"/>
    <w:multiLevelType w:val="multilevel"/>
    <w:tmpl w:val="90A760D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A1F7F718"/>
    <w:multiLevelType w:val="multilevel"/>
    <w:tmpl w:val="A1F7F71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D111C5E2"/>
    <w:multiLevelType w:val="multilevel"/>
    <w:tmpl w:val="D111C5E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5">
    <w:nsid w:val="DB0D1F6D"/>
    <w:multiLevelType w:val="multilevel"/>
    <w:tmpl w:val="DB0D1F6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6">
    <w:nsid w:val="ED2A92CB"/>
    <w:multiLevelType w:val="multilevel"/>
    <w:tmpl w:val="ED2A92C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7">
    <w:nsid w:val="10C619C4"/>
    <w:multiLevelType w:val="multilevel"/>
    <w:tmpl w:val="10C619C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8">
    <w:nsid w:val="1FE47065"/>
    <w:multiLevelType w:val="multilevel"/>
    <w:tmpl w:val="1FE4706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9">
    <w:nsid w:val="5902FF18"/>
    <w:multiLevelType w:val="multilevel"/>
    <w:tmpl w:val="5902FF1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0">
    <w:nsid w:val="6C2828F8"/>
    <w:multiLevelType w:val="multilevel"/>
    <w:tmpl w:val="6C2828F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1">
    <w:nsid w:val="6D97B54E"/>
    <w:multiLevelType w:val="multilevel"/>
    <w:tmpl w:val="6D97B5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2">
    <w:nsid w:val="75E35945"/>
    <w:multiLevelType w:val="multilevel"/>
    <w:tmpl w:val="75E3594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3">
    <w:nsid w:val="76604E06"/>
    <w:multiLevelType w:val="multilevel"/>
    <w:tmpl w:val="76604E0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4">
    <w:nsid w:val="7992B823"/>
    <w:multiLevelType w:val="multilevel"/>
    <w:tmpl w:val="7992B82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7"/>
  </w:num>
  <w:num w:numId="5">
    <w:abstractNumId w:val="13"/>
  </w:num>
  <w:num w:numId="6">
    <w:abstractNumId w:val="9"/>
  </w:num>
  <w:num w:numId="7">
    <w:abstractNumId w:val="8"/>
  </w:num>
  <w:num w:numId="8">
    <w:abstractNumId w:val="6"/>
  </w:num>
  <w:num w:numId="9">
    <w:abstractNumId w:val="11"/>
  </w:num>
  <w:num w:numId="10">
    <w:abstractNumId w:val="5"/>
  </w:num>
  <w:num w:numId="11">
    <w:abstractNumId w:val="4"/>
  </w:num>
  <w:num w:numId="12">
    <w:abstractNumId w:val="0"/>
  </w:num>
  <w:num w:numId="13">
    <w:abstractNumId w:val="2"/>
  </w:num>
  <w:num w:numId="14">
    <w:abstractNumId w:val="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1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1D23"/>
    <w:rsid w:val="00636EA3"/>
    <w:rsid w:val="00795494"/>
    <w:rsid w:val="008D6CF2"/>
    <w:rsid w:val="009B1BB7"/>
    <w:rsid w:val="00C40579"/>
    <w:rsid w:val="00D012B5"/>
    <w:rsid w:val="00EF16FF"/>
    <w:rsid w:val="018F2A71"/>
    <w:rsid w:val="02914EA0"/>
    <w:rsid w:val="02E132C9"/>
    <w:rsid w:val="02F63250"/>
    <w:rsid w:val="02FE3E7B"/>
    <w:rsid w:val="032F4D51"/>
    <w:rsid w:val="045D2E23"/>
    <w:rsid w:val="04757150"/>
    <w:rsid w:val="047C58C8"/>
    <w:rsid w:val="049857F6"/>
    <w:rsid w:val="04CB259A"/>
    <w:rsid w:val="050A5410"/>
    <w:rsid w:val="054775C7"/>
    <w:rsid w:val="05667DB8"/>
    <w:rsid w:val="05680AC3"/>
    <w:rsid w:val="056941E5"/>
    <w:rsid w:val="05BC1DCB"/>
    <w:rsid w:val="061C12DF"/>
    <w:rsid w:val="062079C9"/>
    <w:rsid w:val="062F3015"/>
    <w:rsid w:val="06391877"/>
    <w:rsid w:val="063A6911"/>
    <w:rsid w:val="067319CC"/>
    <w:rsid w:val="06755895"/>
    <w:rsid w:val="067C7D0B"/>
    <w:rsid w:val="06815A46"/>
    <w:rsid w:val="06821594"/>
    <w:rsid w:val="06844B76"/>
    <w:rsid w:val="06A63D81"/>
    <w:rsid w:val="081C52E5"/>
    <w:rsid w:val="091A5098"/>
    <w:rsid w:val="098E3A7F"/>
    <w:rsid w:val="099C16A6"/>
    <w:rsid w:val="09DB3168"/>
    <w:rsid w:val="0A1B744B"/>
    <w:rsid w:val="0A6F7D14"/>
    <w:rsid w:val="0A911623"/>
    <w:rsid w:val="0A9C35A2"/>
    <w:rsid w:val="0ABF19B5"/>
    <w:rsid w:val="0B097861"/>
    <w:rsid w:val="0B0C30DD"/>
    <w:rsid w:val="0B3537D5"/>
    <w:rsid w:val="0BD52668"/>
    <w:rsid w:val="0C464EF2"/>
    <w:rsid w:val="0C590374"/>
    <w:rsid w:val="0C634B63"/>
    <w:rsid w:val="0C8D5529"/>
    <w:rsid w:val="0CEA5C3C"/>
    <w:rsid w:val="0D3336AA"/>
    <w:rsid w:val="0D3B5CCB"/>
    <w:rsid w:val="0D58062B"/>
    <w:rsid w:val="0D605732"/>
    <w:rsid w:val="0DA74DB7"/>
    <w:rsid w:val="0DB07D33"/>
    <w:rsid w:val="0DED5218"/>
    <w:rsid w:val="0E0F4BF6"/>
    <w:rsid w:val="0E323074"/>
    <w:rsid w:val="0E334244"/>
    <w:rsid w:val="0E800E0D"/>
    <w:rsid w:val="0E801C3E"/>
    <w:rsid w:val="0E947389"/>
    <w:rsid w:val="0ED31F3D"/>
    <w:rsid w:val="0ED63240"/>
    <w:rsid w:val="0F2B1E46"/>
    <w:rsid w:val="0F401E1B"/>
    <w:rsid w:val="0F9B0CA3"/>
    <w:rsid w:val="0FC71A98"/>
    <w:rsid w:val="0FE020A8"/>
    <w:rsid w:val="100625C1"/>
    <w:rsid w:val="10A063C1"/>
    <w:rsid w:val="10BA0008"/>
    <w:rsid w:val="11022D4A"/>
    <w:rsid w:val="114A6E96"/>
    <w:rsid w:val="114D5DFF"/>
    <w:rsid w:val="11635419"/>
    <w:rsid w:val="117C5180"/>
    <w:rsid w:val="11915BCC"/>
    <w:rsid w:val="123D543F"/>
    <w:rsid w:val="124A6006"/>
    <w:rsid w:val="12C31B12"/>
    <w:rsid w:val="12DA703E"/>
    <w:rsid w:val="12DB6657"/>
    <w:rsid w:val="12E017EF"/>
    <w:rsid w:val="1323348A"/>
    <w:rsid w:val="13D02787"/>
    <w:rsid w:val="13DF60F9"/>
    <w:rsid w:val="14422D0D"/>
    <w:rsid w:val="146B373C"/>
    <w:rsid w:val="14705760"/>
    <w:rsid w:val="14D42C8D"/>
    <w:rsid w:val="1511460E"/>
    <w:rsid w:val="151501C4"/>
    <w:rsid w:val="152534E9"/>
    <w:rsid w:val="15330128"/>
    <w:rsid w:val="15724254"/>
    <w:rsid w:val="167C463D"/>
    <w:rsid w:val="16A4298F"/>
    <w:rsid w:val="16CB558D"/>
    <w:rsid w:val="179D4701"/>
    <w:rsid w:val="17AA59B6"/>
    <w:rsid w:val="17AF0EC8"/>
    <w:rsid w:val="17C65BE7"/>
    <w:rsid w:val="17EB03DE"/>
    <w:rsid w:val="17EE6893"/>
    <w:rsid w:val="17F03119"/>
    <w:rsid w:val="181425F2"/>
    <w:rsid w:val="18754469"/>
    <w:rsid w:val="18846B7C"/>
    <w:rsid w:val="1975678C"/>
    <w:rsid w:val="19EB40FA"/>
    <w:rsid w:val="1A1E49AB"/>
    <w:rsid w:val="1A3E129F"/>
    <w:rsid w:val="1A9B2352"/>
    <w:rsid w:val="1B591904"/>
    <w:rsid w:val="1BF3778F"/>
    <w:rsid w:val="1C0F378E"/>
    <w:rsid w:val="1C406E5A"/>
    <w:rsid w:val="1CD04562"/>
    <w:rsid w:val="1CE0344E"/>
    <w:rsid w:val="1D1C3424"/>
    <w:rsid w:val="1D634D8C"/>
    <w:rsid w:val="1DBD1F87"/>
    <w:rsid w:val="1EA14899"/>
    <w:rsid w:val="1F564FD4"/>
    <w:rsid w:val="1FD20480"/>
    <w:rsid w:val="20DE579A"/>
    <w:rsid w:val="215D1A6C"/>
    <w:rsid w:val="216C76D0"/>
    <w:rsid w:val="224A48A3"/>
    <w:rsid w:val="23160336"/>
    <w:rsid w:val="2393182C"/>
    <w:rsid w:val="245A7BEB"/>
    <w:rsid w:val="249119E7"/>
    <w:rsid w:val="2507547B"/>
    <w:rsid w:val="258D0456"/>
    <w:rsid w:val="25A67418"/>
    <w:rsid w:val="25AF5FE6"/>
    <w:rsid w:val="260A3D41"/>
    <w:rsid w:val="262D5383"/>
    <w:rsid w:val="263B7010"/>
    <w:rsid w:val="26793695"/>
    <w:rsid w:val="26AE32A3"/>
    <w:rsid w:val="26C916DA"/>
    <w:rsid w:val="275E2378"/>
    <w:rsid w:val="27C1754B"/>
    <w:rsid w:val="27F136FF"/>
    <w:rsid w:val="27FC7D99"/>
    <w:rsid w:val="28041E5C"/>
    <w:rsid w:val="28707090"/>
    <w:rsid w:val="28D4582C"/>
    <w:rsid w:val="28E079FB"/>
    <w:rsid w:val="290C75DA"/>
    <w:rsid w:val="293B2E83"/>
    <w:rsid w:val="293D7A7E"/>
    <w:rsid w:val="296323DA"/>
    <w:rsid w:val="29A047B2"/>
    <w:rsid w:val="29F14FF6"/>
    <w:rsid w:val="2A3A313B"/>
    <w:rsid w:val="2A3A5542"/>
    <w:rsid w:val="2AED28A3"/>
    <w:rsid w:val="2B0379D1"/>
    <w:rsid w:val="2B3E51EB"/>
    <w:rsid w:val="2B423BBB"/>
    <w:rsid w:val="2B465B0F"/>
    <w:rsid w:val="2B8A6FDC"/>
    <w:rsid w:val="2B960845"/>
    <w:rsid w:val="2B9B5E5B"/>
    <w:rsid w:val="2BAE2FE7"/>
    <w:rsid w:val="2BE57429"/>
    <w:rsid w:val="2BF32719"/>
    <w:rsid w:val="2CB76CC5"/>
    <w:rsid w:val="2CB82A3D"/>
    <w:rsid w:val="2D5C50EB"/>
    <w:rsid w:val="2DE33AEA"/>
    <w:rsid w:val="2E4E0D6D"/>
    <w:rsid w:val="30C64435"/>
    <w:rsid w:val="313A7081"/>
    <w:rsid w:val="3188702B"/>
    <w:rsid w:val="321217FD"/>
    <w:rsid w:val="32487A3D"/>
    <w:rsid w:val="32C0437C"/>
    <w:rsid w:val="331161A5"/>
    <w:rsid w:val="33154745"/>
    <w:rsid w:val="336A6352"/>
    <w:rsid w:val="33784CD4"/>
    <w:rsid w:val="33E31E62"/>
    <w:rsid w:val="33F71C12"/>
    <w:rsid w:val="33FF6ACD"/>
    <w:rsid w:val="344C7F39"/>
    <w:rsid w:val="3458732E"/>
    <w:rsid w:val="34767465"/>
    <w:rsid w:val="34785AED"/>
    <w:rsid w:val="35482EE4"/>
    <w:rsid w:val="355D4D68"/>
    <w:rsid w:val="35E86141"/>
    <w:rsid w:val="36033213"/>
    <w:rsid w:val="36176A34"/>
    <w:rsid w:val="362948D5"/>
    <w:rsid w:val="36347C22"/>
    <w:rsid w:val="36F346D2"/>
    <w:rsid w:val="37034115"/>
    <w:rsid w:val="37420660"/>
    <w:rsid w:val="37521C3A"/>
    <w:rsid w:val="379A0715"/>
    <w:rsid w:val="37E84B8D"/>
    <w:rsid w:val="38225688"/>
    <w:rsid w:val="38412FBC"/>
    <w:rsid w:val="384F4255"/>
    <w:rsid w:val="38551D63"/>
    <w:rsid w:val="38683C50"/>
    <w:rsid w:val="390E2D06"/>
    <w:rsid w:val="39353D43"/>
    <w:rsid w:val="39423DBA"/>
    <w:rsid w:val="398246A7"/>
    <w:rsid w:val="398323AB"/>
    <w:rsid w:val="39BD7887"/>
    <w:rsid w:val="39CC4B91"/>
    <w:rsid w:val="3A61430E"/>
    <w:rsid w:val="3AB26D1E"/>
    <w:rsid w:val="3B33539E"/>
    <w:rsid w:val="3B7D732B"/>
    <w:rsid w:val="3BAB221D"/>
    <w:rsid w:val="3D1813DC"/>
    <w:rsid w:val="3DF24DA6"/>
    <w:rsid w:val="3DFA7F28"/>
    <w:rsid w:val="3E2E2B5F"/>
    <w:rsid w:val="3E763F0E"/>
    <w:rsid w:val="3E83373E"/>
    <w:rsid w:val="3EB05E04"/>
    <w:rsid w:val="3F1E51BA"/>
    <w:rsid w:val="3F285800"/>
    <w:rsid w:val="3F4B7D32"/>
    <w:rsid w:val="3F573E79"/>
    <w:rsid w:val="3F7304F7"/>
    <w:rsid w:val="3FD339BE"/>
    <w:rsid w:val="40601AA0"/>
    <w:rsid w:val="406665E0"/>
    <w:rsid w:val="409A44DC"/>
    <w:rsid w:val="40C17CBA"/>
    <w:rsid w:val="40E90FBF"/>
    <w:rsid w:val="4113109C"/>
    <w:rsid w:val="411E773E"/>
    <w:rsid w:val="417C6470"/>
    <w:rsid w:val="4187156E"/>
    <w:rsid w:val="41D852BC"/>
    <w:rsid w:val="42315D83"/>
    <w:rsid w:val="42A96C58"/>
    <w:rsid w:val="42E04B2C"/>
    <w:rsid w:val="431341D0"/>
    <w:rsid w:val="43232C66"/>
    <w:rsid w:val="433376FD"/>
    <w:rsid w:val="43454620"/>
    <w:rsid w:val="43B458B4"/>
    <w:rsid w:val="43E30E4A"/>
    <w:rsid w:val="441D737C"/>
    <w:rsid w:val="441E62C6"/>
    <w:rsid w:val="44261787"/>
    <w:rsid w:val="449414E8"/>
    <w:rsid w:val="44F71EFD"/>
    <w:rsid w:val="453C3B65"/>
    <w:rsid w:val="455938FF"/>
    <w:rsid w:val="457A48DC"/>
    <w:rsid w:val="45F1182C"/>
    <w:rsid w:val="46116FEE"/>
    <w:rsid w:val="466C7955"/>
    <w:rsid w:val="469A3CF8"/>
    <w:rsid w:val="46A84EFF"/>
    <w:rsid w:val="46D00E21"/>
    <w:rsid w:val="46DB435C"/>
    <w:rsid w:val="473867FC"/>
    <w:rsid w:val="473D6F1F"/>
    <w:rsid w:val="473E78E6"/>
    <w:rsid w:val="47F51EDD"/>
    <w:rsid w:val="48160A5F"/>
    <w:rsid w:val="484E0D1A"/>
    <w:rsid w:val="48AC2B84"/>
    <w:rsid w:val="49073C72"/>
    <w:rsid w:val="490C6D56"/>
    <w:rsid w:val="490E4DFE"/>
    <w:rsid w:val="493A685C"/>
    <w:rsid w:val="49CE4647"/>
    <w:rsid w:val="4A587C88"/>
    <w:rsid w:val="4BB41975"/>
    <w:rsid w:val="4BBA7718"/>
    <w:rsid w:val="4CB94775"/>
    <w:rsid w:val="4CC84F4C"/>
    <w:rsid w:val="4D1603D5"/>
    <w:rsid w:val="4E492726"/>
    <w:rsid w:val="4E536803"/>
    <w:rsid w:val="4EA356EB"/>
    <w:rsid w:val="4F3E2645"/>
    <w:rsid w:val="4FCC66E0"/>
    <w:rsid w:val="4FF05EC6"/>
    <w:rsid w:val="504155AE"/>
    <w:rsid w:val="505B3922"/>
    <w:rsid w:val="50967D12"/>
    <w:rsid w:val="50A8152B"/>
    <w:rsid w:val="50EC48E0"/>
    <w:rsid w:val="51700337"/>
    <w:rsid w:val="51FF0643"/>
    <w:rsid w:val="522518B8"/>
    <w:rsid w:val="52D34660"/>
    <w:rsid w:val="52D4387D"/>
    <w:rsid w:val="53234066"/>
    <w:rsid w:val="53397B84"/>
    <w:rsid w:val="53794425"/>
    <w:rsid w:val="539E7FF6"/>
    <w:rsid w:val="53A43ADD"/>
    <w:rsid w:val="53D37488"/>
    <w:rsid w:val="540E2DBF"/>
    <w:rsid w:val="54711E6B"/>
    <w:rsid w:val="549972B7"/>
    <w:rsid w:val="54EB6AB8"/>
    <w:rsid w:val="54FD04E2"/>
    <w:rsid w:val="557C1270"/>
    <w:rsid w:val="55825812"/>
    <w:rsid w:val="55B265A7"/>
    <w:rsid w:val="56C551DB"/>
    <w:rsid w:val="56DF0A43"/>
    <w:rsid w:val="57517B92"/>
    <w:rsid w:val="57834F7C"/>
    <w:rsid w:val="58226BDF"/>
    <w:rsid w:val="58767185"/>
    <w:rsid w:val="589A3B9A"/>
    <w:rsid w:val="58E70014"/>
    <w:rsid w:val="599D0337"/>
    <w:rsid w:val="59C363FA"/>
    <w:rsid w:val="5A2D6CAC"/>
    <w:rsid w:val="5A3B2434"/>
    <w:rsid w:val="5A502803"/>
    <w:rsid w:val="5A8C240F"/>
    <w:rsid w:val="5A9A4ADC"/>
    <w:rsid w:val="5AC96EAD"/>
    <w:rsid w:val="5B0311C1"/>
    <w:rsid w:val="5BC059A2"/>
    <w:rsid w:val="5BE51EE2"/>
    <w:rsid w:val="5BED775E"/>
    <w:rsid w:val="5C0C4088"/>
    <w:rsid w:val="5C3068EC"/>
    <w:rsid w:val="5C892AB5"/>
    <w:rsid w:val="5CC46E8A"/>
    <w:rsid w:val="5D447851"/>
    <w:rsid w:val="5D4E07C1"/>
    <w:rsid w:val="5DDF00E7"/>
    <w:rsid w:val="5DE27E32"/>
    <w:rsid w:val="5E321D12"/>
    <w:rsid w:val="5E4F76E4"/>
    <w:rsid w:val="5F375B64"/>
    <w:rsid w:val="5F43162F"/>
    <w:rsid w:val="5FAE1DEC"/>
    <w:rsid w:val="5FBD37C6"/>
    <w:rsid w:val="5FC008F5"/>
    <w:rsid w:val="5FFE205F"/>
    <w:rsid w:val="603A462F"/>
    <w:rsid w:val="60E55A4C"/>
    <w:rsid w:val="61EC5385"/>
    <w:rsid w:val="621E6A22"/>
    <w:rsid w:val="625B764E"/>
    <w:rsid w:val="628C0E93"/>
    <w:rsid w:val="62A001F9"/>
    <w:rsid w:val="62CB06E7"/>
    <w:rsid w:val="630E6937"/>
    <w:rsid w:val="63245A4E"/>
    <w:rsid w:val="63386752"/>
    <w:rsid w:val="635121DA"/>
    <w:rsid w:val="6359026E"/>
    <w:rsid w:val="63792FE4"/>
    <w:rsid w:val="63B04780"/>
    <w:rsid w:val="63F934D8"/>
    <w:rsid w:val="640E67B2"/>
    <w:rsid w:val="6497295D"/>
    <w:rsid w:val="64F4613F"/>
    <w:rsid w:val="64F660A6"/>
    <w:rsid w:val="653307D9"/>
    <w:rsid w:val="65EF0DA3"/>
    <w:rsid w:val="661213F8"/>
    <w:rsid w:val="663C45F8"/>
    <w:rsid w:val="66680A54"/>
    <w:rsid w:val="66A03D4A"/>
    <w:rsid w:val="66C06180"/>
    <w:rsid w:val="66CA2E98"/>
    <w:rsid w:val="66D47389"/>
    <w:rsid w:val="66EA0CF8"/>
    <w:rsid w:val="67191D99"/>
    <w:rsid w:val="67AE2497"/>
    <w:rsid w:val="67D330BB"/>
    <w:rsid w:val="689D1A3F"/>
    <w:rsid w:val="68E43E0A"/>
    <w:rsid w:val="68F55EA4"/>
    <w:rsid w:val="69C15EE5"/>
    <w:rsid w:val="6A384D70"/>
    <w:rsid w:val="6A4C5F97"/>
    <w:rsid w:val="6A4E4629"/>
    <w:rsid w:val="6A553C10"/>
    <w:rsid w:val="6A84150A"/>
    <w:rsid w:val="6A8B6CB1"/>
    <w:rsid w:val="6AB43455"/>
    <w:rsid w:val="6AC512ED"/>
    <w:rsid w:val="6B6A00AF"/>
    <w:rsid w:val="6B7360C2"/>
    <w:rsid w:val="6BB362CE"/>
    <w:rsid w:val="6BB66D79"/>
    <w:rsid w:val="6BBD734D"/>
    <w:rsid w:val="6C146AF0"/>
    <w:rsid w:val="6C3D203B"/>
    <w:rsid w:val="6C5C4988"/>
    <w:rsid w:val="6C61709A"/>
    <w:rsid w:val="6C7A3118"/>
    <w:rsid w:val="6C7F604A"/>
    <w:rsid w:val="6C7F7F3A"/>
    <w:rsid w:val="6C8B2514"/>
    <w:rsid w:val="6CE27E63"/>
    <w:rsid w:val="6D6F188F"/>
    <w:rsid w:val="6DBA285A"/>
    <w:rsid w:val="6E04169F"/>
    <w:rsid w:val="6E2A65EF"/>
    <w:rsid w:val="6EBE65F8"/>
    <w:rsid w:val="6F14027E"/>
    <w:rsid w:val="6F2F35C0"/>
    <w:rsid w:val="6F30019D"/>
    <w:rsid w:val="6F770829"/>
    <w:rsid w:val="6F8B3D27"/>
    <w:rsid w:val="6FC512BC"/>
    <w:rsid w:val="702B3139"/>
    <w:rsid w:val="706758D9"/>
    <w:rsid w:val="70926393"/>
    <w:rsid w:val="70AD72D7"/>
    <w:rsid w:val="724D6952"/>
    <w:rsid w:val="728F0BCC"/>
    <w:rsid w:val="72B22FA8"/>
    <w:rsid w:val="72DB0D8E"/>
    <w:rsid w:val="72EB36C2"/>
    <w:rsid w:val="73B462BA"/>
    <w:rsid w:val="73B918B3"/>
    <w:rsid w:val="73CD1EF7"/>
    <w:rsid w:val="73D62A1E"/>
    <w:rsid w:val="74285BA7"/>
    <w:rsid w:val="74AB27DF"/>
    <w:rsid w:val="7535681F"/>
    <w:rsid w:val="75AA5D89"/>
    <w:rsid w:val="75B854DB"/>
    <w:rsid w:val="75F625FF"/>
    <w:rsid w:val="77942E0B"/>
    <w:rsid w:val="77C22EB3"/>
    <w:rsid w:val="77F750D6"/>
    <w:rsid w:val="78A23952"/>
    <w:rsid w:val="78EE6B97"/>
    <w:rsid w:val="79481E9D"/>
    <w:rsid w:val="79646E59"/>
    <w:rsid w:val="79675A4D"/>
    <w:rsid w:val="79A46C89"/>
    <w:rsid w:val="79C36E0F"/>
    <w:rsid w:val="79D55C9E"/>
    <w:rsid w:val="7A454199"/>
    <w:rsid w:val="7ABD0EF2"/>
    <w:rsid w:val="7B0015CD"/>
    <w:rsid w:val="7B181F75"/>
    <w:rsid w:val="7B715CC9"/>
    <w:rsid w:val="7C484810"/>
    <w:rsid w:val="7CB13F50"/>
    <w:rsid w:val="7CCF0A8E"/>
    <w:rsid w:val="7D16262C"/>
    <w:rsid w:val="7D2E0689"/>
    <w:rsid w:val="7D4F6BA6"/>
    <w:rsid w:val="7D984714"/>
    <w:rsid w:val="7DC05B88"/>
    <w:rsid w:val="7DE77008"/>
    <w:rsid w:val="7E447BF1"/>
    <w:rsid w:val="7E494870"/>
    <w:rsid w:val="7E96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1096</Words>
  <Characters>1157</Characters>
  <Lines>0</Lines>
  <Paragraphs>0</Paragraphs>
  <TotalTime>27</TotalTime>
  <ScaleCrop>false</ScaleCrop>
  <LinksUpToDate>false</LinksUpToDate>
  <CharactersWithSpaces>1180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2025-04-21T03:45:00Z</dcterms:created>
  <dc:creator>Mt</dc:creator>
  <cp:lastModifiedBy>Mt</cp:lastModifiedBy>
  <dcterms:modified xsi:type="dcterms:W3CDTF">2025-08-28T09:03:12Z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eyJoZGlkIjoiYjA5ZmJiMTJkMzI5ZGI2NmMzYTkyYWEzODg2ZmUwZmMifQ==</vt:lpwstr>
  </property>
  <property fmtid="{D5CDD505-2E9C-101B-9397-08002B2CF9AE}" pid="4" name="ICV">
    <vt:lpwstr>D80A36E92FCA417AA1B36D740FDD1130_12</vt:lpwstr>
  </property>
</Properties>
</file>